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A3B1" w14:textId="4248D6C4" w:rsidR="009C0E82" w:rsidRDefault="00000000">
      <w:pPr>
        <w:spacing w:before="40" w:after="40" w:line="276" w:lineRule="auto"/>
        <w:jc w:val="both"/>
      </w:pPr>
      <w:r>
        <w:rPr>
          <w:b/>
          <w:bCs/>
        </w:rPr>
        <w:t xml:space="preserve">Bogotá D.C., </w:t>
      </w:r>
      <w:r w:rsidR="00E303C8">
        <w:t xml:space="preserve"> 21 mayo 2026</w:t>
      </w:r>
    </w:p>
    <w:p w14:paraId="5231A47A" w14:textId="77777777" w:rsidR="009C0E82" w:rsidRDefault="009C0E82">
      <w:pPr>
        <w:spacing w:before="80"/>
      </w:pPr>
    </w:p>
    <w:p w14:paraId="557FBABB" w14:textId="77777777" w:rsidR="009C0E82" w:rsidRDefault="00000000" w:rsidP="00E303C8">
      <w:pPr>
        <w:spacing w:before="40"/>
        <w:jc w:val="both"/>
      </w:pPr>
      <w:r>
        <w:rPr>
          <w:b/>
          <w:bCs/>
        </w:rPr>
        <w:t xml:space="preserve">Señores </w:t>
      </w:r>
    </w:p>
    <w:p w14:paraId="202B6CAE" w14:textId="77777777" w:rsidR="009C0E82" w:rsidRDefault="00000000" w:rsidP="00E303C8">
      <w:pPr>
        <w:spacing w:before="80"/>
        <w:jc w:val="both"/>
      </w:pPr>
      <w:r>
        <w:rPr>
          <w:b/>
          <w:bCs/>
        </w:rPr>
        <w:t>DIRECCIÓN DE IMPUESTOS Y ADUANAS NACIONALES – DIAN</w:t>
      </w:r>
    </w:p>
    <w:p w14:paraId="3CF51365" w14:textId="77777777" w:rsidR="009C0E82" w:rsidRDefault="00000000" w:rsidP="00E303C8">
      <w:pPr>
        <w:spacing w:before="80"/>
        <w:jc w:val="both"/>
      </w:pPr>
      <w:r>
        <w:t>Subdirección de Normativa y Doctrina</w:t>
      </w:r>
    </w:p>
    <w:p w14:paraId="20F5EEC6" w14:textId="77777777" w:rsidR="009C0E82" w:rsidRDefault="00000000" w:rsidP="00E303C8">
      <w:pPr>
        <w:spacing w:before="80"/>
        <w:jc w:val="both"/>
      </w:pPr>
      <w:r>
        <w:t>Carrera 8 No. 6C-38, Bogotá D.C.</w:t>
      </w:r>
    </w:p>
    <w:p w14:paraId="15D5D6AF" w14:textId="77777777" w:rsidR="009C0E82" w:rsidRDefault="00000000" w:rsidP="00E303C8">
      <w:pPr>
        <w:spacing w:before="80"/>
        <w:jc w:val="both"/>
      </w:pPr>
      <w:r>
        <w:t>E-mail institucional: dian@dian.gov.co</w:t>
      </w:r>
    </w:p>
    <w:p w14:paraId="4799A641" w14:textId="77777777" w:rsidR="009C0E82" w:rsidRDefault="00000000" w:rsidP="00E303C8">
      <w:pPr>
        <w:spacing w:before="80"/>
        <w:jc w:val="both"/>
      </w:pPr>
      <w:r>
        <w:t>Ciudad</w:t>
      </w:r>
    </w:p>
    <w:p w14:paraId="6C8BEBAB" w14:textId="77777777" w:rsidR="009C0E82" w:rsidRDefault="009C0E82">
      <w:pPr>
        <w:spacing w:before="80"/>
      </w:pPr>
    </w:p>
    <w:p w14:paraId="4EDCFA14" w14:textId="77777777" w:rsidR="009C0E82" w:rsidRDefault="00000000">
      <w:pPr>
        <w:spacing w:before="80" w:after="80" w:line="276" w:lineRule="auto"/>
        <w:jc w:val="both"/>
      </w:pPr>
      <w:r>
        <w:rPr>
          <w:b/>
          <w:bCs/>
        </w:rPr>
        <w:t xml:space="preserve">ASUNTO:    </w:t>
      </w:r>
      <w:r>
        <w:t>Solicitud de concepto jurídico y tributario sobre la aplicación del Impuesto de Timbre Nacional establecido mediante el Decreto Legislativo 0175 del 14 de febrero de 2025 — contratos y convenios suscritos en 2025 cuya ejecución y pago se realiza en 2026 mediante reservas presupuestales, y procedimiento de devolución o ajuste de retenciones practicadas en exceso.</w:t>
      </w:r>
    </w:p>
    <w:p w14:paraId="0E72ADF5" w14:textId="77777777" w:rsidR="009C0E82" w:rsidRDefault="009C0E82">
      <w:pPr>
        <w:spacing w:before="60"/>
      </w:pPr>
    </w:p>
    <w:p w14:paraId="60883790" w14:textId="77777777" w:rsidR="009C0E82" w:rsidRDefault="00000000">
      <w:pPr>
        <w:spacing w:before="80" w:after="80" w:line="276" w:lineRule="auto"/>
        <w:jc w:val="both"/>
      </w:pPr>
      <w:r>
        <w:t>Respetados señores:</w:t>
      </w:r>
    </w:p>
    <w:p w14:paraId="38516C4A" w14:textId="16CB6789" w:rsidR="00E303C8" w:rsidRDefault="00E303C8">
      <w:pPr>
        <w:spacing w:before="80" w:after="80" w:line="276" w:lineRule="auto"/>
        <w:jc w:val="both"/>
      </w:pPr>
    </w:p>
    <w:p w14:paraId="4DE0599C" w14:textId="3EC54EF3" w:rsidR="00E303C8" w:rsidRPr="00E303C8" w:rsidRDefault="00E303C8">
      <w:pPr>
        <w:spacing w:before="80" w:after="80" w:line="276" w:lineRule="auto"/>
        <w:jc w:val="both"/>
        <w:rPr>
          <w:b/>
          <w:bCs/>
        </w:rPr>
      </w:pPr>
      <w:r w:rsidRPr="00E303C8">
        <w:rPr>
          <w:b/>
          <w:bCs/>
        </w:rPr>
        <w:t>1 - INTRODUCCION Y FUNDAMENTOS NORMATIVOS</w:t>
      </w:r>
    </w:p>
    <w:p w14:paraId="0389D4C4" w14:textId="77777777" w:rsidR="009C0E82" w:rsidRDefault="009C0E82">
      <w:pPr>
        <w:spacing w:before="40"/>
      </w:pPr>
    </w:p>
    <w:p w14:paraId="59B41F85" w14:textId="77777777" w:rsidR="009C0E82" w:rsidRDefault="00000000">
      <w:pPr>
        <w:spacing w:before="80" w:after="80" w:line="276" w:lineRule="auto"/>
        <w:jc w:val="both"/>
      </w:pPr>
      <w:r>
        <w:t>El Ministerio de Ambiente y Desarrollo Sostenible (en adelante, el Ministerio), en ejercicio del derecho de petición consagrado en el artículo 23 de la Constitución Política y los artículos 13 y siguientes de la Ley 1437 de 2011 — Código de Procedimiento Administrativo y de lo Contencioso Administrativo (CPACA) —, formula respetuosamente la presente consulta a la Subdirección de Normativa y Doctrina de la Dirección de Impuestos y Aduanas Nacionales, con el propósito de obtener orientación jurídica y tributaria oficial sobre la correcta aplicación del Impuesto de Timbre Nacional en los escenarios específicos que se describen a continuación.</w:t>
      </w:r>
    </w:p>
    <w:p w14:paraId="6E2A139F" w14:textId="77777777" w:rsidR="009C0E82" w:rsidRDefault="009C0E82">
      <w:pPr>
        <w:spacing w:before="60"/>
      </w:pPr>
    </w:p>
    <w:p w14:paraId="5F3FA096" w14:textId="77777777" w:rsidR="009C0E82" w:rsidRDefault="00000000">
      <w:pPr>
        <w:spacing w:before="80" w:after="80" w:line="276" w:lineRule="auto"/>
        <w:jc w:val="both"/>
      </w:pPr>
      <w:r>
        <w:t>La solicitud encuentra sustento en el siguiente marco normativo:</w:t>
      </w:r>
    </w:p>
    <w:p w14:paraId="27009500" w14:textId="77777777" w:rsidR="009C0E82" w:rsidRDefault="009C0E82">
      <w:pPr>
        <w:spacing w:before="40"/>
      </w:pPr>
    </w:p>
    <w:p w14:paraId="5C60FA2A" w14:textId="77777777" w:rsidR="009C0E82" w:rsidRDefault="00000000">
      <w:pPr>
        <w:pStyle w:val="Prrafodelista"/>
        <w:numPr>
          <w:ilvl w:val="0"/>
          <w:numId w:val="2"/>
        </w:numPr>
        <w:spacing w:before="60" w:after="60"/>
        <w:jc w:val="both"/>
      </w:pPr>
      <w:r>
        <w:t>Decreto Legislativo 0175 del 14 de febrero de 2025, expedido por el Gobierno Nacional en uso de las facultades conferidas por el artículo 213 de la Constitución Política y el artículo 38 de la Ley Estatutaria 137 de 1994, con ocasión del Estado de Conmoción Interior declarado en la región del Catatumbo, el área metropolitana de Cúcuta y los municipios de Río de Oro y González del departamento del Cesar mediante el Decreto 62 del 24 de enero de 2025. El artículo 8.° de dicho Decreto modificó transitoriamente el parágrafo 2.° del artículo 519 del Estatuto Tributario, elevando la tarifa del Impuesto de Timbre Nacional del 0% al 1%, aplicable sobre instrumentos públicos y documentos privados que hicieran constar la constitución, existencia, modificación o extinción de obligaciones cuya cuantía fuera superior a seis mil (6.000) Unidades de Valor Tributario — UVT —, equivalentes a $298.794.000 para el año 2025, cuando en ellos intervinieran entidades públicas, personas jurídicas o personas naturales comerciantes con ingresos o patrimonio bruto superiores a 30.000 UVT en el año anterior. El artículo 10.° de la misma norma limitó su vigencia al período comprendido entre el quinto día hábil siguiente a su publicación — esto es, el 22 de febrero de 2025 — y el 31 de diciembre de 2025.</w:t>
      </w:r>
    </w:p>
    <w:p w14:paraId="0F69FCF2" w14:textId="77777777" w:rsidR="009C0E82" w:rsidRDefault="009C0E82">
      <w:pPr>
        <w:spacing w:before="60"/>
      </w:pPr>
    </w:p>
    <w:p w14:paraId="701981AA" w14:textId="77777777" w:rsidR="009C0E82" w:rsidRDefault="00000000">
      <w:pPr>
        <w:pStyle w:val="Prrafodelista"/>
        <w:numPr>
          <w:ilvl w:val="0"/>
          <w:numId w:val="2"/>
        </w:numPr>
        <w:spacing w:before="60" w:after="60"/>
        <w:jc w:val="both"/>
      </w:pPr>
      <w:r>
        <w:t>Artículos 513 a 553 del Estatuto Tributario, que regulan el Impuesto de Timbre Nacional, incluyendo el hecho generador (artículo 519), los sujetos pasivos y agentes de retención (artículos 515 a 518), las reglas especiales de cuantía (artículo 522), las exenciones (artículo 530) y las facultades de investigación de la DIAN (artículo 536).</w:t>
      </w:r>
    </w:p>
    <w:p w14:paraId="1D9047FA" w14:textId="77777777" w:rsidR="009C0E82" w:rsidRDefault="00000000">
      <w:pPr>
        <w:pStyle w:val="Prrafodelista"/>
        <w:numPr>
          <w:ilvl w:val="0"/>
          <w:numId w:val="2"/>
        </w:numPr>
        <w:spacing w:before="60" w:after="60"/>
        <w:jc w:val="both"/>
      </w:pPr>
      <w:r>
        <w:t>Artículo 850 del Estatuto Tributario, relativo al derecho de devolución de pagos en exceso y de lo no debido.</w:t>
      </w:r>
    </w:p>
    <w:p w14:paraId="432606FB" w14:textId="77777777" w:rsidR="009C0E82" w:rsidRDefault="00000000">
      <w:pPr>
        <w:pStyle w:val="Prrafodelista"/>
        <w:numPr>
          <w:ilvl w:val="0"/>
          <w:numId w:val="2"/>
        </w:numPr>
        <w:spacing w:before="60" w:after="60"/>
        <w:jc w:val="both"/>
      </w:pPr>
      <w:r>
        <w:lastRenderedPageBreak/>
        <w:t>Artículos 1.2.4.16 y 1.6.1.21.27 del Decreto 1625 de 2016 — Decreto Único Reglamentario en Materia Tributaria (DUR) —, que regulan el procedimiento de reintegro de retenciones en la fuente practicadas en exceso o indebidamente.</w:t>
      </w:r>
    </w:p>
    <w:p w14:paraId="24E697C3" w14:textId="77777777" w:rsidR="009C0E82" w:rsidRDefault="00000000">
      <w:pPr>
        <w:pStyle w:val="Prrafodelista"/>
        <w:numPr>
          <w:ilvl w:val="0"/>
          <w:numId w:val="2"/>
        </w:numPr>
        <w:spacing w:before="60" w:after="60"/>
        <w:jc w:val="both"/>
      </w:pPr>
      <w:r>
        <w:t>Artículo 1.4.1.2.4 del Decreto 1625 de 2016, que establece el orden de prelación de los agentes de retención del Impuesto de Timbre, asignando a las entidades públicas la condición de agentes de retención preferentes cuando intervienen como contratantes.</w:t>
      </w:r>
    </w:p>
    <w:p w14:paraId="3D58DFBE" w14:textId="77777777" w:rsidR="009C0E82" w:rsidRDefault="00000000">
      <w:pPr>
        <w:pStyle w:val="Prrafodelista"/>
        <w:numPr>
          <w:ilvl w:val="0"/>
          <w:numId w:val="2"/>
        </w:numPr>
        <w:spacing w:before="60" w:after="60"/>
        <w:jc w:val="both"/>
      </w:pPr>
      <w:r>
        <w:t>Doctrina de la DIAN contenida en los Conceptos 002687 — Interno 303 del 5 de marzo de 2025; 003418 — Interno 265 del 26 de febrero de 2025; 004803 — Interno 0493 del 24 de marzo de 2025; y 013278 del 30 de septiembre de 2025, referidos al hecho generador, causación, tarifa aplicable y procedimiento de devolución del Impuesto de Timbre en el marco del Decreto 0175 de 2025.</w:t>
      </w:r>
    </w:p>
    <w:p w14:paraId="158C55F1" w14:textId="77777777" w:rsidR="009C0E82" w:rsidRDefault="00000000">
      <w:pPr>
        <w:pStyle w:val="Prrafodelista"/>
        <w:numPr>
          <w:ilvl w:val="0"/>
          <w:numId w:val="2"/>
        </w:numPr>
        <w:spacing w:before="60" w:after="60"/>
        <w:jc w:val="both"/>
      </w:pPr>
      <w:r>
        <w:t>Jurisprudencia del Consejo de Estado, Sección Cuarta: Sentencia del 14 de julio de 2000, Radicado CE-SEC4-EXP2000-N9822, y Sentencia del 3 de marzo de 2011, Radicado 11001-03-27-000-2008-00042-00 (17443), referidas a la tarifa aplicable del impuesto de timbre en contratos de cuantía indeterminada ante cambios normativos de tarifa.</w:t>
      </w:r>
    </w:p>
    <w:p w14:paraId="43C9B0D4" w14:textId="77777777" w:rsidR="009C0E82" w:rsidRDefault="00000000">
      <w:pPr>
        <w:pStyle w:val="Prrafodelista"/>
        <w:numPr>
          <w:ilvl w:val="0"/>
          <w:numId w:val="2"/>
        </w:numPr>
        <w:spacing w:before="60" w:after="60"/>
        <w:jc w:val="both"/>
      </w:pPr>
      <w:r>
        <w:t>Artículos 89 y siguientes del Decreto 111 de 1996 — Estatuto Orgánico del Presupuesto —, referidos a la figura de las reservas presupuestales.</w:t>
      </w:r>
    </w:p>
    <w:p w14:paraId="2B918A49" w14:textId="77777777" w:rsidR="009C0E82" w:rsidRDefault="009C0E82">
      <w:pPr>
        <w:spacing w:before="60"/>
      </w:pPr>
    </w:p>
    <w:p w14:paraId="0972E11F" w14:textId="77777777" w:rsidR="009C0E82" w:rsidRDefault="00000000">
      <w:pPr>
        <w:spacing w:before="80" w:after="80" w:line="276" w:lineRule="auto"/>
        <w:jc w:val="both"/>
      </w:pPr>
      <w:r>
        <w:t>El Ministerio reconoce que la DIAN, en ejercicio de la facultad prevista en el artículo 131 de la Ley 2010 de 2019 y el artículo 56 del Decreto 1742 de 2020, emite doctrina de carácter general sobre la interpretación de las normas tributarias, sin que dicha función implique la resolución de casos particulares. En consecuencia, la presente consulta se formula en términos generales, describiendo escenarios representativos que el Ministerio ha identificado en su gestión contractual, a fin de que la Subdirección de Normativa y Doctrina se pronuncie sobre la correcta aplicación del tributo.</w:t>
      </w:r>
    </w:p>
    <w:p w14:paraId="6E78C622" w14:textId="77777777" w:rsidR="00E303C8" w:rsidRDefault="00E303C8">
      <w:pPr>
        <w:spacing w:before="80" w:after="80" w:line="276" w:lineRule="auto"/>
        <w:jc w:val="both"/>
      </w:pPr>
    </w:p>
    <w:p w14:paraId="3E918693" w14:textId="56E449DA" w:rsidR="00E303C8" w:rsidRPr="00E303C8" w:rsidRDefault="00E303C8">
      <w:pPr>
        <w:spacing w:before="80" w:after="80" w:line="276" w:lineRule="auto"/>
        <w:jc w:val="both"/>
        <w:rPr>
          <w:b/>
          <w:bCs/>
        </w:rPr>
      </w:pPr>
      <w:r w:rsidRPr="00E303C8">
        <w:rPr>
          <w:b/>
          <w:bCs/>
        </w:rPr>
        <w:t>2 - CONTEXTO</w:t>
      </w:r>
    </w:p>
    <w:p w14:paraId="0B821876" w14:textId="77777777" w:rsidR="009C0E82" w:rsidRDefault="00000000">
      <w:pPr>
        <w:spacing w:before="160" w:after="80"/>
      </w:pPr>
      <w:r>
        <w:rPr>
          <w:b/>
          <w:bCs/>
          <w:color w:val="595959"/>
        </w:rPr>
        <w:t>2.1  Naturaleza de la entidad y su rol como agente retenedor</w:t>
      </w:r>
    </w:p>
    <w:p w14:paraId="18F1224A" w14:textId="77777777" w:rsidR="009C0E82" w:rsidRDefault="00000000">
      <w:pPr>
        <w:spacing w:before="80" w:after="80" w:line="276" w:lineRule="auto"/>
        <w:jc w:val="both"/>
      </w:pPr>
      <w:r>
        <w:t>El Ministerio de Ambiente y Desarrollo Sostenible es una entidad pública del orden nacional, cabeza del sector ambiental, con personería jurídica, autonomía administrativa y financiera, dotada de patrimonio propio, creada mediante la Ley 99 de 1993. En virtud de su naturaleza jurídica y en cumplimiento de lo establecido en el artículo 1.4.1.2.4 del Decreto 1625 de 2016, en concordancia con el artículo 518 del Estatuto Tributario, el Ministerio ostenta la condición de agente retenedor preferente del Impuesto de Timbre Nacional cuando interviene como contratante u otorgante en instrumentos públicos o documentos privados sujetos a dicho impuesto.</w:t>
      </w:r>
    </w:p>
    <w:p w14:paraId="75BD25EE" w14:textId="77777777" w:rsidR="009C0E82" w:rsidRDefault="009C0E82">
      <w:pPr>
        <w:spacing w:before="60"/>
      </w:pPr>
    </w:p>
    <w:p w14:paraId="74650C60" w14:textId="77777777" w:rsidR="009C0E82" w:rsidRDefault="00000000">
      <w:pPr>
        <w:spacing w:before="160" w:after="80"/>
      </w:pPr>
      <w:r>
        <w:rPr>
          <w:b/>
          <w:bCs/>
          <w:color w:val="595959"/>
        </w:rPr>
        <w:t>2.2  Escenarios identificados en la gestión contractual</w:t>
      </w:r>
    </w:p>
    <w:p w14:paraId="6398B4E3" w14:textId="77777777" w:rsidR="009C0E82" w:rsidRDefault="00000000">
      <w:pPr>
        <w:spacing w:before="80" w:after="80" w:line="276" w:lineRule="auto"/>
        <w:jc w:val="both"/>
      </w:pPr>
      <w:r>
        <w:t>En el marco de la gestión contractual desarrollada durante las vigencias fiscales 2025 y 2026, el Ministerio ha identificado los siguientes escenarios específicos que generan dudas interpretativas sobre la correcta aplicación del Impuesto de Timbre:</w:t>
      </w:r>
    </w:p>
    <w:p w14:paraId="64F71CE5" w14:textId="77777777" w:rsidR="00073D1E" w:rsidRDefault="00073D1E">
      <w:pPr>
        <w:spacing w:before="80" w:after="80" w:line="276" w:lineRule="auto"/>
        <w:jc w:val="both"/>
      </w:pPr>
    </w:p>
    <w:p w14:paraId="3CA264F8" w14:textId="19FDD41C" w:rsidR="00073D1E" w:rsidRDefault="00073D1E" w:rsidP="00073D1E">
      <w:pPr>
        <w:spacing w:before="60" w:after="60"/>
      </w:pPr>
      <w:r>
        <w:rPr>
          <w:b/>
          <w:bCs/>
        </w:rPr>
        <w:t>Contratos suscritos en 2025 sin ejecución presupuestal, constituidos como reservas presupuestales para 2026:</w:t>
      </w:r>
    </w:p>
    <w:p w14:paraId="166BB243" w14:textId="3D085383" w:rsidR="00073D1E" w:rsidRDefault="00073D1E" w:rsidP="00073D1E">
      <w:pPr>
        <w:spacing w:before="80" w:after="80" w:line="276" w:lineRule="auto"/>
        <w:jc w:val="both"/>
      </w:pPr>
      <w:r>
        <w:t xml:space="preserve">Durante la vigencia del Decreto 0175 de 2025 — específicamente entre el 22 de febrero y el 31 de diciembre de 2025 —, el Ministerio suscribió contratos y convenios cuya cuantía supera las 6.000 UVT. Dichos instrumentos se encuentran dentro del ámbito de aplicación del artículo 8.° del citado Decreto. Sin embargo, por circunstancias relacionadas con la complejidad técnica de la ejecución, la disponibilidad oportuna de los bienes o servicios contratados, o condiciones propias del proceso contractual, algunos de estos contratos no registraron ejecución presupuestal ni radicación de cuentas de cobro o facturas durante el año 2025. En consecuencia, de conformidad con los artículos 89 y siguientes del Decreto 111 de 1996, los compromisos </w:t>
      </w:r>
      <w:r>
        <w:lastRenderedPageBreak/>
        <w:t>presupuestales adquiridos en 2025 fueron constituidos como reservas presupuestales, las cuales se pagan con cargo al presupuesto de la vigencia 2026.</w:t>
      </w:r>
    </w:p>
    <w:p w14:paraId="428975C9" w14:textId="77777777" w:rsidR="00073D1E" w:rsidRDefault="00073D1E" w:rsidP="00073D1E">
      <w:pPr>
        <w:spacing w:before="80" w:after="80" w:line="276" w:lineRule="auto"/>
        <w:jc w:val="both"/>
      </w:pPr>
    </w:p>
    <w:p w14:paraId="4029C3A9" w14:textId="39BEE9B9" w:rsidR="00073D1E" w:rsidRDefault="00073D1E" w:rsidP="00073D1E">
      <w:pPr>
        <w:spacing w:before="60" w:after="60"/>
      </w:pPr>
      <w:r>
        <w:rPr>
          <w:b/>
          <w:bCs/>
        </w:rPr>
        <w:t>Descuentos por impuesto de timbre potencialmente practicados en valor superior al legalmente procedente:</w:t>
      </w:r>
    </w:p>
    <w:p w14:paraId="60A54A8C" w14:textId="1D440C54" w:rsidR="00073D1E" w:rsidRDefault="00073D1E" w:rsidP="00073D1E">
      <w:pPr>
        <w:spacing w:before="80" w:after="80" w:line="276" w:lineRule="auto"/>
        <w:jc w:val="both"/>
      </w:pPr>
      <w:r>
        <w:t>En algunos contratos suscritos en 2025 o en pagos realizados en 2026, el Ministerio, en su calidad de agente retenedor, pudo haber practicado descuentos o retenciones a título de Impuesto de Timbre por valores superiores a los legalmente procedentes. Esta situación se configura, entre otros supuestos, cuando: (i) la retención fue calculada sobre la base de la tarifa del 1% en contratos en los que la tarifa aplicable era del 0% por corresponder a un hecho generador anterior a la vigencia del Decreto 0175/2025; (</w:t>
      </w:r>
      <w:proofErr w:type="spellStart"/>
      <w:r>
        <w:t>ii</w:t>
      </w:r>
      <w:proofErr w:type="spellEnd"/>
      <w:r>
        <w:t>) cuando la retención se practicó sobre contratos de cuantía indeterminada cuyos pagos se realizaron a partir del 1.° de enero de 2026, fecha desde la cual la doctrina vigente de la DIAN (Concepto 004803/2025) indica que la tarifa es del 0%; o (</w:t>
      </w:r>
      <w:proofErr w:type="spellStart"/>
      <w:r>
        <w:t>iii</w:t>
      </w:r>
      <w:proofErr w:type="spellEnd"/>
      <w:r>
        <w:t>) cuando por error de liquidación se aplicó la retención sobre una base gravable mayor a la correspondiente.</w:t>
      </w:r>
    </w:p>
    <w:p w14:paraId="7BC546E4" w14:textId="77777777" w:rsidR="009C0E82" w:rsidRDefault="009C0E82">
      <w:pPr>
        <w:spacing w:before="80"/>
      </w:pPr>
    </w:p>
    <w:p w14:paraId="36BAAC31" w14:textId="0BF5F6D5" w:rsidR="00E818DC" w:rsidRPr="00E818DC" w:rsidRDefault="00E818DC">
      <w:pPr>
        <w:spacing w:before="80"/>
        <w:rPr>
          <w:b/>
          <w:bCs/>
        </w:rPr>
      </w:pPr>
      <w:r w:rsidRPr="00E818DC">
        <w:rPr>
          <w:b/>
          <w:bCs/>
        </w:rPr>
        <w:t>3 – CONSULTA JURIDICA Y TRIBUTARIA</w:t>
      </w:r>
    </w:p>
    <w:p w14:paraId="04EB9EB3" w14:textId="77777777" w:rsidR="009C0E82" w:rsidRDefault="009C0E82">
      <w:pPr>
        <w:spacing w:before="40"/>
      </w:pPr>
    </w:p>
    <w:p w14:paraId="5E33E589" w14:textId="77777777" w:rsidR="009C0E82" w:rsidRDefault="00000000">
      <w:pPr>
        <w:spacing w:before="80" w:after="80" w:line="276" w:lineRule="auto"/>
        <w:jc w:val="both"/>
      </w:pPr>
      <w:r>
        <w:t>Con base en los antecedentes normativos e institucionales descritos, el Ministerio de Ambiente y Desarrollo Sostenible formula respetuosamente las siguientes consultas a la Subdirección de Normativa y Doctrina de la DIAN:</w:t>
      </w:r>
    </w:p>
    <w:p w14:paraId="07F98E91" w14:textId="77777777" w:rsidR="009C0E82" w:rsidRDefault="009C0E82">
      <w:pPr>
        <w:spacing w:before="80"/>
      </w:pPr>
    </w:p>
    <w:p w14:paraId="0BDF0355" w14:textId="77777777" w:rsidR="009C0E82" w:rsidRPr="00E818DC" w:rsidRDefault="00000000">
      <w:pPr>
        <w:spacing w:before="160" w:after="80"/>
        <w:rPr>
          <w:b/>
          <w:bCs/>
          <w:color w:val="auto"/>
        </w:rPr>
      </w:pPr>
      <w:r w:rsidRPr="00E818DC">
        <w:rPr>
          <w:b/>
          <w:bCs/>
          <w:color w:val="auto"/>
        </w:rPr>
        <w:t>PRIMERA CONSULTA — Tratamiento tributario del Impuesto de Timbre en contratos suscritos en 2025 con reservas presupuestales cuya ejecución y pago ocurren en 2026</w:t>
      </w:r>
    </w:p>
    <w:p w14:paraId="058F7F44" w14:textId="77777777" w:rsidR="009C0E82" w:rsidRDefault="009C0E82">
      <w:pPr>
        <w:spacing w:before="40"/>
      </w:pPr>
    </w:p>
    <w:p w14:paraId="6D120DB2" w14:textId="77777777" w:rsidR="009C0E82" w:rsidRDefault="00000000">
      <w:pPr>
        <w:spacing w:before="80" w:after="80" w:line="276" w:lineRule="auto"/>
        <w:jc w:val="both"/>
      </w:pPr>
      <w:r>
        <w:t>El Ministerio solicita respetuosamente que la Subdirección de Normativa y Doctrina precise el tratamiento jurídico-tributario aplicable al Impuesto de Timbre Nacional en los contratos y convenios suscritos durante la vigencia del Decreto Legislativo 0175 de 2025, cuya cuantía supera las 6.000 UVT, pero en los cuales la ejecución presupuestal y el pago efectivo a los contratistas se producirá en la vigencia 2026, mediante los recursos habilitados a través de la figura de reservas presupuestales prevista en el artículo 89 del Decreto 111 de 1996.</w:t>
      </w:r>
    </w:p>
    <w:p w14:paraId="68A45621" w14:textId="77777777" w:rsidR="009C0E82" w:rsidRDefault="009C0E82">
      <w:pPr>
        <w:spacing w:before="60"/>
      </w:pPr>
    </w:p>
    <w:p w14:paraId="0389228F" w14:textId="77777777" w:rsidR="009C0E82" w:rsidRDefault="00000000">
      <w:pPr>
        <w:spacing w:before="80" w:after="80" w:line="276" w:lineRule="auto"/>
        <w:jc w:val="both"/>
      </w:pPr>
      <w:r>
        <w:t>En particular, el Ministerio requiere pronunciamiento oficial sobre los siguientes aspectos:</w:t>
      </w:r>
    </w:p>
    <w:p w14:paraId="3EFF7103" w14:textId="77777777" w:rsidR="009C0E82" w:rsidRDefault="009C0E82">
      <w:pPr>
        <w:spacing w:before="40"/>
      </w:pPr>
    </w:p>
    <w:p w14:paraId="689F483E" w14:textId="77777777" w:rsidR="009C0E82" w:rsidRDefault="00000000">
      <w:pPr>
        <w:pStyle w:val="Prrafodelista"/>
        <w:numPr>
          <w:ilvl w:val="0"/>
          <w:numId w:val="3"/>
        </w:numPr>
        <w:spacing w:before="80" w:after="60"/>
        <w:jc w:val="both"/>
      </w:pPr>
      <w:r>
        <w:t xml:space="preserve">Momento de causación del Impuesto de Timbre: ¿La </w:t>
      </w:r>
      <w:proofErr w:type="spellStart"/>
      <w:r>
        <w:t>causación</w:t>
      </w:r>
      <w:proofErr w:type="spellEnd"/>
      <w:r>
        <w:t xml:space="preserve"> del impuesto ocurre en el momento de la suscripción, otorgamiento o aceptación del contrato —conforme al inciso primero del artículo 519 del Estatuto Tributario—, o se difiere al momento del pago o abono en cuenta según el tipo de cuantía del contrato? ¿Tiene alguna incidencia, para los efectos de la </w:t>
      </w:r>
      <w:proofErr w:type="spellStart"/>
      <w:r>
        <w:t>causación</w:t>
      </w:r>
      <w:proofErr w:type="spellEnd"/>
      <w:r>
        <w:t>, el hecho de que la cuantía del contrato sea determinada o indeterminada al momento de su suscripción?</w:t>
      </w:r>
    </w:p>
    <w:p w14:paraId="41A36FA7" w14:textId="77777777" w:rsidR="009C0E82" w:rsidRDefault="00000000">
      <w:pPr>
        <w:pStyle w:val="Prrafodelista"/>
        <w:numPr>
          <w:ilvl w:val="0"/>
          <w:numId w:val="3"/>
        </w:numPr>
        <w:spacing w:before="60" w:after="60"/>
        <w:jc w:val="both"/>
      </w:pPr>
      <w:r>
        <w:t>Vigencia para la declaración y pago: ¿El Impuesto de Timbre causado con ocasión de contratos suscritos en 2025 durante la vigencia del Decreto 0175/2025 debe declararse y pagarse en la vigencia 2025, o puede declararse y pagarse en la vigencia 2026 al momento en que se practique efectivamente la retención en la fuente con ocasión del pago al contratista, utilizando el concepto habilitado en el Formulario 350 del sistema MUISCA para tal efecto?</w:t>
      </w:r>
    </w:p>
    <w:p w14:paraId="35FF408C" w14:textId="77777777" w:rsidR="009C0E82" w:rsidRDefault="00000000">
      <w:pPr>
        <w:pStyle w:val="Prrafodelista"/>
        <w:numPr>
          <w:ilvl w:val="0"/>
          <w:numId w:val="3"/>
        </w:numPr>
        <w:spacing w:before="60" w:after="60"/>
        <w:jc w:val="both"/>
      </w:pPr>
      <w:r>
        <w:t xml:space="preserve">Efecto tributario de la reserva presupuestal: ¿La constitución de una reserva presupuestal al amparo del Decreto 111 de 1996 tiene algún efecto jurídico sobre la </w:t>
      </w:r>
      <w:proofErr w:type="spellStart"/>
      <w:r>
        <w:t>causación</w:t>
      </w:r>
      <w:proofErr w:type="spellEnd"/>
      <w:r>
        <w:t>, la tarifa aplicable, la exigibilidad o el momento de declaración y pago del Impuesto de Timbre Nacional? ¿Es admisible argüir que la reserva presupuestal difiere o suspende la obligación tributaria?</w:t>
      </w:r>
    </w:p>
    <w:p w14:paraId="1C5BFD66" w14:textId="77777777" w:rsidR="009C0E82" w:rsidRDefault="00000000">
      <w:pPr>
        <w:pStyle w:val="Prrafodelista"/>
        <w:numPr>
          <w:ilvl w:val="0"/>
          <w:numId w:val="3"/>
        </w:numPr>
        <w:spacing w:before="60" w:after="60"/>
        <w:jc w:val="both"/>
      </w:pPr>
      <w:r>
        <w:t xml:space="preserve">Tarifa aplicable a los pagos realizados en 2026: ¿La retención en la fuente a título de Impuesto de Timbre que se practique en 2026 sobre pagos derivados de contratos de cuantía determinada suscritos durante la vigencia del Decreto 0175/2025 debe efectuarse a la tarifa del 1%, en atención </w:t>
      </w:r>
      <w:r>
        <w:lastRenderedPageBreak/>
        <w:t>a que la causación ocurrió en 2025 cuando dicha tarifa estaba vigente? O, por el contrario, ¿aplica la tarifa del 0% vigente a partir del 1.° de enero de 2026 conforme a la Ley 1111 de 2006?</w:t>
      </w:r>
    </w:p>
    <w:p w14:paraId="1014F0EC" w14:textId="77777777" w:rsidR="009C0E82" w:rsidRDefault="00000000">
      <w:pPr>
        <w:pStyle w:val="Prrafodelista"/>
        <w:numPr>
          <w:ilvl w:val="0"/>
          <w:numId w:val="3"/>
        </w:numPr>
        <w:spacing w:before="60" w:after="80"/>
        <w:jc w:val="both"/>
      </w:pPr>
      <w:r>
        <w:t>Habilitación del Formulario 350 en 2026: ¿La habilitación del concepto «Retenciones impuesto de timbre Decreto Conmoción Interior al 1% (Parágrafo 2 artículo 519 E.T.)» en el Formulario 350 del sistema MUISCA para la vigencia 2026 implica que la tarifa del 1% se encuentra vigente para nuevos hechos generadores en dicha vigencia, o corresponde únicamente a una habilitación técnico-sistémica para permitir la declaración de retenciones practicadas en 2026 sobre contratos causados en 2025?</w:t>
      </w:r>
    </w:p>
    <w:p w14:paraId="0E6B506D" w14:textId="77777777" w:rsidR="009C0E82" w:rsidRDefault="009C0E82">
      <w:pPr>
        <w:spacing w:before="80"/>
      </w:pPr>
    </w:p>
    <w:p w14:paraId="45F90C09" w14:textId="77777777" w:rsidR="009C0E82" w:rsidRPr="00E818DC" w:rsidRDefault="00000000">
      <w:pPr>
        <w:spacing w:before="160" w:after="80"/>
        <w:rPr>
          <w:color w:val="auto"/>
        </w:rPr>
      </w:pPr>
      <w:r w:rsidRPr="00E818DC">
        <w:rPr>
          <w:b/>
          <w:bCs/>
          <w:color w:val="auto"/>
        </w:rPr>
        <w:t>SEGUNDA CONSULTA — Procedimiento aplicable ante descuentos o retenciones por Impuesto de Timbre practicados en valor superior al legalmente procedente</w:t>
      </w:r>
    </w:p>
    <w:p w14:paraId="7E4F9613" w14:textId="77777777" w:rsidR="009C0E82" w:rsidRDefault="009C0E82">
      <w:pPr>
        <w:spacing w:before="40"/>
      </w:pPr>
    </w:p>
    <w:p w14:paraId="4E3D4AD1" w14:textId="77777777" w:rsidR="009C0E82" w:rsidRDefault="00000000">
      <w:pPr>
        <w:spacing w:before="80" w:after="80" w:line="276" w:lineRule="auto"/>
        <w:jc w:val="both"/>
      </w:pPr>
      <w:r>
        <w:t>El Ministerio solicita igualmente que la Subdirección de Normativa y Doctrina se pronuncie sobre el procedimiento normativo aplicable cuando, en ejercicio de su calidad de agente retenedor, la entidad hubiere practicado descuentos o retenciones a título de Impuesto de Timbre Nacional en un valor superior al que correspondía conforme a las normas vigentes al momento de la retención.</w:t>
      </w:r>
    </w:p>
    <w:p w14:paraId="206C0DC4" w14:textId="77777777" w:rsidR="009C0E82" w:rsidRDefault="009C0E82">
      <w:pPr>
        <w:spacing w:before="60"/>
      </w:pPr>
    </w:p>
    <w:p w14:paraId="6C58E9DF" w14:textId="77777777" w:rsidR="009C0E82" w:rsidRDefault="00000000">
      <w:pPr>
        <w:spacing w:before="80" w:after="80" w:line="276" w:lineRule="auto"/>
        <w:jc w:val="both"/>
      </w:pPr>
      <w:r>
        <w:t>El Ministerio entiende que el artículo 1.2.4.16 del Decreto 1625 de 2016 establece el procedimiento de reintegro de retenciones practicadas en exceso o indebidamente a título del impuesto sobre la renta y complementarios, y que el Concepto DIAN 013278 del 30 de septiembre de 2025 extendió dicho procedimiento a las retenciones a título de Impuesto de Timbre Nacional. No obstante, dado que la aplicación del procedimiento a este impuesto presenta particularidades, se solicita pronunciamiento expreso sobre los siguientes aspectos:</w:t>
      </w:r>
    </w:p>
    <w:p w14:paraId="2A110FC4" w14:textId="77777777" w:rsidR="009C0E82" w:rsidRDefault="009C0E82">
      <w:pPr>
        <w:spacing w:before="60"/>
      </w:pPr>
    </w:p>
    <w:p w14:paraId="6B96A080" w14:textId="77777777" w:rsidR="009C0E82" w:rsidRDefault="00000000">
      <w:pPr>
        <w:pStyle w:val="Prrafodelista"/>
        <w:numPr>
          <w:ilvl w:val="0"/>
          <w:numId w:val="3"/>
        </w:numPr>
        <w:spacing w:before="80" w:after="60"/>
        <w:jc w:val="both"/>
      </w:pPr>
      <w:r>
        <w:t>Legitimación para solicitar la devolución: ¿Corresponde al tercero afectado por la retención (contratista, proveedor o prestador del servicio) acudir directamente ante la DIAN para solicitar la devolución del valor retenido en exceso o indebidamente? ¿O debe el contratista elevar la solicitud ante la entidad pública agente retenedor, quien será la responsable de tramitar el reintegro y efectuar el descuento correspondiente en sus declaraciones de retenciones en la fuente?</w:t>
      </w:r>
    </w:p>
    <w:p w14:paraId="0C984796" w14:textId="77777777" w:rsidR="009C0E82" w:rsidRDefault="00000000">
      <w:pPr>
        <w:pStyle w:val="Prrafodelista"/>
        <w:numPr>
          <w:ilvl w:val="0"/>
          <w:numId w:val="3"/>
        </w:numPr>
        <w:spacing w:before="60" w:after="60"/>
        <w:jc w:val="both"/>
      </w:pPr>
      <w:r>
        <w:t>Obligaciones del agente retenedor: ¿Cuáles son las obligaciones específicas que debe cumplir la entidad pública agente retenedor cuando recibe la solicitud de reintegro del contratista? ¿Debe la entidad verificar la procedencia del reintegro, efectuarlo con cargo a sus propios recursos, anular el certificado de retención en la fuente expedido y descontar el valor reintegrado de las retenciones pendientes de declarar y consignar en el período correspondiente conforme al artículo 1.2.4.16 del DUR 1625/2016?</w:t>
      </w:r>
    </w:p>
    <w:p w14:paraId="48FF0D59" w14:textId="77777777" w:rsidR="009C0E82" w:rsidRDefault="00000000">
      <w:pPr>
        <w:pStyle w:val="Prrafodelista"/>
        <w:numPr>
          <w:ilvl w:val="0"/>
          <w:numId w:val="3"/>
        </w:numPr>
        <w:spacing w:before="60" w:after="60"/>
        <w:jc w:val="both"/>
      </w:pPr>
      <w:r>
        <w:t>Procedimiento ante la DIAN: ¿En qué circunstancias puede o debe el agente retenedor acudir directamente ante la DIAN para solicitar la devolución del valor pagado en exceso, en lugar de efectuar el descuento contra retenciones futuras? ¿Se aplica el procedimiento del artículo 850 del Estatuto Tributario en estos casos?</w:t>
      </w:r>
    </w:p>
    <w:p w14:paraId="7BAFF096" w14:textId="77777777" w:rsidR="009C0E82" w:rsidRDefault="00000000">
      <w:pPr>
        <w:pStyle w:val="Prrafodelista"/>
        <w:numPr>
          <w:ilvl w:val="0"/>
          <w:numId w:val="3"/>
        </w:numPr>
        <w:spacing w:before="60" w:after="60"/>
        <w:jc w:val="both"/>
      </w:pPr>
      <w:r>
        <w:t>Requisitos de la solicitud de reintegro: ¿Cuáles son los requisitos formales y sustanciales que debe cumplir la solicitud de reintegro presentada por el contratista ante la entidad agente retenedor? ¿Es necesario que el solicitante manifieste expresamente que la retención no ha sido ni será imputada en su declaración de renta, cuando la solicitud se presenta en el año fiscal siguiente al de la retención?</w:t>
      </w:r>
    </w:p>
    <w:p w14:paraId="27ADA1DB" w14:textId="77777777" w:rsidR="009C0E82" w:rsidRDefault="00000000">
      <w:pPr>
        <w:pStyle w:val="Prrafodelista"/>
        <w:numPr>
          <w:ilvl w:val="0"/>
          <w:numId w:val="3"/>
        </w:numPr>
        <w:spacing w:before="60" w:after="80"/>
        <w:jc w:val="both"/>
      </w:pPr>
      <w:r>
        <w:t>Término para solicitar el reintegro: ¿Cuál es el término vigente para que el contratista solicite el reintegro de retenciones practicadas en exceso? ¿Aplica el término de prescripción de la acción ejecutiva del artículo 2536 del Código Civil, contado desde la fecha de la retención, conforme a lo previsto en el artículo 1.6.1.21.27 del DUR 1625/2016?</w:t>
      </w:r>
    </w:p>
    <w:p w14:paraId="621F4078" w14:textId="77777777" w:rsidR="00E818DC" w:rsidRDefault="00E818DC" w:rsidP="00E818DC">
      <w:pPr>
        <w:spacing w:before="60" w:after="80"/>
        <w:jc w:val="both"/>
      </w:pPr>
    </w:p>
    <w:p w14:paraId="3D3D7CE5" w14:textId="75732234" w:rsidR="00E818DC" w:rsidRPr="00E818DC" w:rsidRDefault="00E818DC" w:rsidP="00E818DC">
      <w:pPr>
        <w:spacing w:before="60" w:after="80"/>
        <w:jc w:val="both"/>
        <w:rPr>
          <w:b/>
          <w:bCs/>
        </w:rPr>
      </w:pPr>
      <w:r w:rsidRPr="00E818DC">
        <w:rPr>
          <w:b/>
          <w:bCs/>
        </w:rPr>
        <w:t>4 -  SOLICITUD</w:t>
      </w:r>
    </w:p>
    <w:p w14:paraId="3BBC130B" w14:textId="77777777" w:rsidR="009C0E82" w:rsidRDefault="009C0E82">
      <w:pPr>
        <w:spacing w:before="40"/>
      </w:pPr>
    </w:p>
    <w:p w14:paraId="393352AE" w14:textId="77777777" w:rsidR="009C0E82" w:rsidRDefault="00000000">
      <w:pPr>
        <w:spacing w:before="80" w:after="80" w:line="276" w:lineRule="auto"/>
        <w:jc w:val="both"/>
      </w:pPr>
      <w:r>
        <w:t>Con fundamento en los antecedentes y planteamientos expuestos, el Ministerio de Ambiente y Desarrollo Sostenible solicita respetuosamente a la Subdirección de Normativa y Doctrina de la DIAN:</w:t>
      </w:r>
    </w:p>
    <w:p w14:paraId="00F7B435" w14:textId="77777777" w:rsidR="009C0E82" w:rsidRDefault="009C0E82">
      <w:pPr>
        <w:spacing w:before="60"/>
      </w:pPr>
    </w:p>
    <w:p w14:paraId="39C9044F" w14:textId="77777777" w:rsidR="009C0E82" w:rsidRDefault="00000000">
      <w:pPr>
        <w:pStyle w:val="Prrafodelista"/>
        <w:numPr>
          <w:ilvl w:val="0"/>
          <w:numId w:val="2"/>
        </w:numPr>
        <w:spacing w:before="60" w:after="60"/>
        <w:jc w:val="both"/>
      </w:pPr>
      <w:r>
        <w:t>Absolver las consultas formuladas en la Sección III del presente oficio, mediante concepto de carácter general que sirva de orientación para la correcta aplicación del Impuesto de Timbre Nacional en los escenarios descritos.</w:t>
      </w:r>
    </w:p>
    <w:p w14:paraId="6FB7273C" w14:textId="77777777" w:rsidR="009C0E82" w:rsidRDefault="00000000">
      <w:pPr>
        <w:pStyle w:val="Prrafodelista"/>
        <w:numPr>
          <w:ilvl w:val="0"/>
          <w:numId w:val="2"/>
        </w:numPr>
        <w:spacing w:before="60" w:after="60"/>
        <w:jc w:val="both"/>
      </w:pPr>
      <w:r>
        <w:t>En caso de existir doctrina emitida previamente por esa Subdirección que dé respuesta integral o parcial a las consultas aquí planteadas, indicar expresamente los conceptos, radicados y fechas de los pronunciamientos aplicables, a fin de que el Ministerio pueda adoptar las decisiones administrativas y tributarias pertinentes con plena certeza jurídica.</w:t>
      </w:r>
    </w:p>
    <w:p w14:paraId="60691A9C" w14:textId="77777777" w:rsidR="009C0E82" w:rsidRDefault="00000000">
      <w:pPr>
        <w:pStyle w:val="Prrafodelista"/>
        <w:numPr>
          <w:ilvl w:val="0"/>
          <w:numId w:val="2"/>
        </w:numPr>
        <w:spacing w:before="60" w:after="60"/>
        <w:jc w:val="both"/>
      </w:pPr>
      <w:r>
        <w:t>Precisar si la habilitación del concepto de Impuesto de Timbre en el Formulario 350 del sistema MUISCA para la vigencia 2026 obedece a una instrucción técnico-sistémica con fundamento en situaciones tributarias específicas, o si implica la existencia de una obligación tributaria activa a la tarifa del 1% para nuevos hechos generadores en dicha vigencia.</w:t>
      </w:r>
    </w:p>
    <w:p w14:paraId="204D4B90" w14:textId="77777777" w:rsidR="009C0E82" w:rsidRDefault="009C0E82">
      <w:pPr>
        <w:spacing w:before="40"/>
      </w:pPr>
    </w:p>
    <w:p w14:paraId="5058910E" w14:textId="77777777" w:rsidR="009C0E82" w:rsidRDefault="00000000">
      <w:pPr>
        <w:spacing w:before="80" w:after="80" w:line="276" w:lineRule="auto"/>
        <w:jc w:val="both"/>
      </w:pPr>
      <w:r>
        <w:t>El Ministerio reconoce el compromiso permanente de la DIAN en la difusión de la doctrina tributaria oficial y en la garantía de la seguridad jurídica de los contribuyentes y agentes retenedores, y confía en que las consultas aquí formuladas serán atendidas dentro de los términos previstos en el artículo 14 del CPACA.</w:t>
      </w:r>
    </w:p>
    <w:p w14:paraId="70C19356" w14:textId="77777777" w:rsidR="009C0E82" w:rsidRDefault="009C0E82">
      <w:pPr>
        <w:spacing w:before="60"/>
      </w:pPr>
    </w:p>
    <w:p w14:paraId="112EA0E9" w14:textId="77777777" w:rsidR="009C0E82" w:rsidRDefault="00000000">
      <w:pPr>
        <w:spacing w:before="80" w:after="80" w:line="276" w:lineRule="auto"/>
        <w:jc w:val="both"/>
      </w:pPr>
      <w:r>
        <w:t>Agradecemos la atención y consideración prestada a la presente solicitud.</w:t>
      </w:r>
    </w:p>
    <w:p w14:paraId="44DFB7FA" w14:textId="77777777" w:rsidR="009C0E82" w:rsidRDefault="009C0E82">
      <w:pPr>
        <w:spacing w:before="160"/>
      </w:pPr>
    </w:p>
    <w:p w14:paraId="55A1C78A" w14:textId="77777777" w:rsidR="009C0E82" w:rsidRDefault="00000000">
      <w:pPr>
        <w:spacing w:before="80" w:after="80" w:line="276" w:lineRule="auto"/>
        <w:jc w:val="both"/>
      </w:pPr>
      <w:r>
        <w:t>Cordialmente,</w:t>
      </w:r>
    </w:p>
    <w:p w14:paraId="3A70CB2E" w14:textId="77777777" w:rsidR="009C0E82" w:rsidRDefault="009C0E82">
      <w:pPr>
        <w:spacing w:before="400"/>
      </w:pPr>
    </w:p>
    <w:p w14:paraId="142F7995" w14:textId="77777777" w:rsidR="009C0E82" w:rsidRDefault="00000000">
      <w:pPr>
        <w:spacing w:before="80" w:after="80" w:line="276" w:lineRule="auto"/>
      </w:pPr>
      <w:r>
        <w:t>_________________________________________________</w:t>
      </w:r>
    </w:p>
    <w:p w14:paraId="7C5802BF" w14:textId="18777CA3" w:rsidR="009C0E82" w:rsidRDefault="008B202A">
      <w:pPr>
        <w:spacing w:before="80" w:after="80" w:line="276" w:lineRule="auto"/>
        <w:jc w:val="both"/>
      </w:pPr>
      <w:r>
        <w:rPr>
          <w:b/>
          <w:bCs/>
        </w:rPr>
        <w:t>HEIDI NANY ALONSO TRIANA</w:t>
      </w:r>
    </w:p>
    <w:p w14:paraId="576E4D60" w14:textId="7C8168EE" w:rsidR="009C0E82" w:rsidRDefault="008B202A">
      <w:pPr>
        <w:spacing w:before="80" w:after="80" w:line="276" w:lineRule="auto"/>
        <w:jc w:val="both"/>
      </w:pPr>
      <w:r>
        <w:t>Representante Legal</w:t>
      </w:r>
    </w:p>
    <w:p w14:paraId="3D9B3C9C" w14:textId="07389166" w:rsidR="009C0E82" w:rsidRDefault="00000000">
      <w:pPr>
        <w:spacing w:before="80" w:after="80" w:line="276" w:lineRule="auto"/>
        <w:jc w:val="both"/>
      </w:pPr>
      <w:r>
        <w:t>Minist</w:t>
      </w:r>
      <w:r w:rsidR="008B202A">
        <w:t>erio</w:t>
      </w:r>
      <w:r w:rsidR="00073D1E">
        <w:t xml:space="preserve"> </w:t>
      </w:r>
      <w:r>
        <w:t>de Ambiente y Desarrollo Sostenible</w:t>
      </w:r>
    </w:p>
    <w:p w14:paraId="0770F342" w14:textId="77777777" w:rsidR="009C0E82" w:rsidRDefault="009C0E82">
      <w:pPr>
        <w:spacing w:before="80"/>
      </w:pPr>
    </w:p>
    <w:p w14:paraId="556E12D4" w14:textId="48FF2E83" w:rsidR="009C0E82" w:rsidRDefault="00000000" w:rsidP="00073D1E">
      <w:pPr>
        <w:spacing w:before="80" w:after="80" w:line="276" w:lineRule="auto"/>
        <w:jc w:val="both"/>
      </w:pPr>
      <w:r>
        <w:t xml:space="preserve">Proyectó: </w:t>
      </w:r>
      <w:r w:rsidR="001E3D74">
        <w:t xml:space="preserve">John Fredy Zambrano </w:t>
      </w:r>
      <w:proofErr w:type="spellStart"/>
      <w:r w:rsidR="001E3D74">
        <w:t>Marin</w:t>
      </w:r>
      <w:proofErr w:type="spellEnd"/>
    </w:p>
    <w:p w14:paraId="7AD5300B" w14:textId="44089967" w:rsidR="009C0E82" w:rsidRDefault="001E3D74">
      <w:pPr>
        <w:spacing w:before="60"/>
      </w:pPr>
      <w:r>
        <w:t xml:space="preserve">Reviso: </w:t>
      </w:r>
      <w:proofErr w:type="spellStart"/>
      <w:r>
        <w:t>Roneel</w:t>
      </w:r>
      <w:proofErr w:type="spellEnd"/>
      <w:r>
        <w:t xml:space="preserve"> </w:t>
      </w:r>
      <w:proofErr w:type="spellStart"/>
      <w:r>
        <w:t>Caceres</w:t>
      </w:r>
      <w:proofErr w:type="spellEnd"/>
      <w:r>
        <w:t xml:space="preserve"> Mojica</w:t>
      </w:r>
    </w:p>
    <w:p w14:paraId="5FA11ED0" w14:textId="230628A1" w:rsidR="009C0E82" w:rsidRDefault="001E3D74">
      <w:proofErr w:type="spellStart"/>
      <w:r>
        <w:t>Aprobo</w:t>
      </w:r>
      <w:proofErr w:type="spellEnd"/>
      <w:r>
        <w:t xml:space="preserve">: </w:t>
      </w:r>
      <w:proofErr w:type="spellStart"/>
      <w:r w:rsidR="001A2968">
        <w:t>Yessica</w:t>
      </w:r>
      <w:proofErr w:type="spellEnd"/>
      <w:r w:rsidR="001A2968">
        <w:t xml:space="preserve"> Leonor Mosquera Restrepo</w:t>
      </w:r>
    </w:p>
    <w:sectPr w:rsidR="009C0E82">
      <w:pgSz w:w="12240" w:h="15840"/>
      <w:pgMar w:top="1080" w:right="1260" w:bottom="1080" w:left="126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C4E76"/>
    <w:multiLevelType w:val="hybridMultilevel"/>
    <w:tmpl w:val="A3C0B014"/>
    <w:lvl w:ilvl="0" w:tplc="9BA22038">
      <w:start w:val="1"/>
      <w:numFmt w:val="lowerLetter"/>
      <w:lvlText w:val="%1)"/>
      <w:lvlJc w:val="left"/>
      <w:pPr>
        <w:ind w:left="900" w:hanging="400"/>
      </w:pPr>
    </w:lvl>
    <w:lvl w:ilvl="1" w:tplc="7BA8803E">
      <w:numFmt w:val="decimal"/>
      <w:lvlText w:val=""/>
      <w:lvlJc w:val="left"/>
    </w:lvl>
    <w:lvl w:ilvl="2" w:tplc="60BED3FC">
      <w:numFmt w:val="decimal"/>
      <w:lvlText w:val=""/>
      <w:lvlJc w:val="left"/>
    </w:lvl>
    <w:lvl w:ilvl="3" w:tplc="E52EC0AE">
      <w:numFmt w:val="decimal"/>
      <w:lvlText w:val=""/>
      <w:lvlJc w:val="left"/>
    </w:lvl>
    <w:lvl w:ilvl="4" w:tplc="5A166E32">
      <w:numFmt w:val="decimal"/>
      <w:lvlText w:val=""/>
      <w:lvlJc w:val="left"/>
    </w:lvl>
    <w:lvl w:ilvl="5" w:tplc="096853A8">
      <w:numFmt w:val="decimal"/>
      <w:lvlText w:val=""/>
      <w:lvlJc w:val="left"/>
    </w:lvl>
    <w:lvl w:ilvl="6" w:tplc="BF0A9C5A">
      <w:numFmt w:val="decimal"/>
      <w:lvlText w:val=""/>
      <w:lvlJc w:val="left"/>
    </w:lvl>
    <w:lvl w:ilvl="7" w:tplc="9566D346">
      <w:numFmt w:val="decimal"/>
      <w:lvlText w:val=""/>
      <w:lvlJc w:val="left"/>
    </w:lvl>
    <w:lvl w:ilvl="8" w:tplc="DF5EB3EA">
      <w:numFmt w:val="decimal"/>
      <w:lvlText w:val=""/>
      <w:lvlJc w:val="left"/>
    </w:lvl>
  </w:abstractNum>
  <w:abstractNum w:abstractNumId="1" w15:restartNumberingAfterBreak="0">
    <w:nsid w:val="360E0824"/>
    <w:multiLevelType w:val="hybridMultilevel"/>
    <w:tmpl w:val="F3AE07A8"/>
    <w:lvl w:ilvl="0" w:tplc="3C062FB8">
      <w:start w:val="1"/>
      <w:numFmt w:val="bullet"/>
      <w:lvlText w:val="●"/>
      <w:lvlJc w:val="left"/>
      <w:pPr>
        <w:ind w:left="720" w:hanging="360"/>
      </w:pPr>
    </w:lvl>
    <w:lvl w:ilvl="1" w:tplc="F572CC16">
      <w:start w:val="1"/>
      <w:numFmt w:val="bullet"/>
      <w:lvlText w:val="○"/>
      <w:lvlJc w:val="left"/>
      <w:pPr>
        <w:ind w:left="1440" w:hanging="360"/>
      </w:pPr>
    </w:lvl>
    <w:lvl w:ilvl="2" w:tplc="053AD61C">
      <w:start w:val="1"/>
      <w:numFmt w:val="bullet"/>
      <w:lvlText w:val="■"/>
      <w:lvlJc w:val="left"/>
      <w:pPr>
        <w:ind w:left="2160" w:hanging="360"/>
      </w:pPr>
    </w:lvl>
    <w:lvl w:ilvl="3" w:tplc="78C0FCD2">
      <w:start w:val="1"/>
      <w:numFmt w:val="bullet"/>
      <w:lvlText w:val="●"/>
      <w:lvlJc w:val="left"/>
      <w:pPr>
        <w:ind w:left="2880" w:hanging="360"/>
      </w:pPr>
    </w:lvl>
    <w:lvl w:ilvl="4" w:tplc="C150A4E6">
      <w:start w:val="1"/>
      <w:numFmt w:val="bullet"/>
      <w:lvlText w:val="○"/>
      <w:lvlJc w:val="left"/>
      <w:pPr>
        <w:ind w:left="3600" w:hanging="360"/>
      </w:pPr>
    </w:lvl>
    <w:lvl w:ilvl="5" w:tplc="AC863EBA">
      <w:start w:val="1"/>
      <w:numFmt w:val="bullet"/>
      <w:lvlText w:val="■"/>
      <w:lvlJc w:val="left"/>
      <w:pPr>
        <w:ind w:left="4320" w:hanging="360"/>
      </w:pPr>
    </w:lvl>
    <w:lvl w:ilvl="6" w:tplc="F3DCF55A">
      <w:start w:val="1"/>
      <w:numFmt w:val="bullet"/>
      <w:lvlText w:val="●"/>
      <w:lvlJc w:val="left"/>
      <w:pPr>
        <w:ind w:left="5040" w:hanging="360"/>
      </w:pPr>
    </w:lvl>
    <w:lvl w:ilvl="7" w:tplc="2BEC6970">
      <w:start w:val="1"/>
      <w:numFmt w:val="bullet"/>
      <w:lvlText w:val="●"/>
      <w:lvlJc w:val="left"/>
      <w:pPr>
        <w:ind w:left="5760" w:hanging="360"/>
      </w:pPr>
    </w:lvl>
    <w:lvl w:ilvl="8" w:tplc="6F08040A">
      <w:start w:val="1"/>
      <w:numFmt w:val="bullet"/>
      <w:lvlText w:val="●"/>
      <w:lvlJc w:val="left"/>
      <w:pPr>
        <w:ind w:left="6480" w:hanging="360"/>
      </w:pPr>
    </w:lvl>
  </w:abstractNum>
  <w:abstractNum w:abstractNumId="2" w15:restartNumberingAfterBreak="0">
    <w:nsid w:val="5DE72FA3"/>
    <w:multiLevelType w:val="hybridMultilevel"/>
    <w:tmpl w:val="7C58AFE8"/>
    <w:lvl w:ilvl="0" w:tplc="EB8E4584">
      <w:start w:val="1"/>
      <w:numFmt w:val="bullet"/>
      <w:lvlText w:val="•"/>
      <w:lvlJc w:val="left"/>
      <w:pPr>
        <w:ind w:left="720" w:hanging="360"/>
      </w:pPr>
    </w:lvl>
    <w:lvl w:ilvl="1" w:tplc="2A74FE02">
      <w:numFmt w:val="decimal"/>
      <w:lvlText w:val=""/>
      <w:lvlJc w:val="left"/>
    </w:lvl>
    <w:lvl w:ilvl="2" w:tplc="4E8483EA">
      <w:numFmt w:val="decimal"/>
      <w:lvlText w:val=""/>
      <w:lvlJc w:val="left"/>
    </w:lvl>
    <w:lvl w:ilvl="3" w:tplc="2F04103C">
      <w:numFmt w:val="decimal"/>
      <w:lvlText w:val=""/>
      <w:lvlJc w:val="left"/>
    </w:lvl>
    <w:lvl w:ilvl="4" w:tplc="54A82C4A">
      <w:numFmt w:val="decimal"/>
      <w:lvlText w:val=""/>
      <w:lvlJc w:val="left"/>
    </w:lvl>
    <w:lvl w:ilvl="5" w:tplc="9AF4061A">
      <w:numFmt w:val="decimal"/>
      <w:lvlText w:val=""/>
      <w:lvlJc w:val="left"/>
    </w:lvl>
    <w:lvl w:ilvl="6" w:tplc="5194274A">
      <w:numFmt w:val="decimal"/>
      <w:lvlText w:val=""/>
      <w:lvlJc w:val="left"/>
    </w:lvl>
    <w:lvl w:ilvl="7" w:tplc="9C143BEE">
      <w:numFmt w:val="decimal"/>
      <w:lvlText w:val=""/>
      <w:lvlJc w:val="left"/>
    </w:lvl>
    <w:lvl w:ilvl="8" w:tplc="9A86A192">
      <w:numFmt w:val="decimal"/>
      <w:lvlText w:val=""/>
      <w:lvlJc w:val="left"/>
    </w:lvl>
  </w:abstractNum>
  <w:num w:numId="1" w16cid:durableId="1093820711">
    <w:abstractNumId w:val="1"/>
    <w:lvlOverride w:ilvl="0">
      <w:startOverride w:val="1"/>
    </w:lvlOverride>
  </w:num>
  <w:num w:numId="2" w16cid:durableId="366024242">
    <w:abstractNumId w:val="2"/>
    <w:lvlOverride w:ilvl="0">
      <w:startOverride w:val="1"/>
    </w:lvlOverride>
  </w:num>
  <w:num w:numId="3" w16cid:durableId="162373267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E82"/>
    <w:rsid w:val="00055D64"/>
    <w:rsid w:val="00073D1E"/>
    <w:rsid w:val="001A2968"/>
    <w:rsid w:val="001E3D74"/>
    <w:rsid w:val="006620FB"/>
    <w:rsid w:val="008B202A"/>
    <w:rsid w:val="00954C2E"/>
    <w:rsid w:val="009C0E82"/>
    <w:rsid w:val="00E303C8"/>
    <w:rsid w:val="00E818D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A47AD"/>
  <w15:docId w15:val="{B2460CF0-DE28-4D8F-A466-348C0D2BE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color w:val="000000"/>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outlineLvl w:val="0"/>
    </w:pPr>
    <w:rPr>
      <w:color w:val="2E74B5"/>
      <w:sz w:val="32"/>
      <w:szCs w:val="32"/>
    </w:rPr>
  </w:style>
  <w:style w:type="paragraph" w:styleId="Ttulo2">
    <w:name w:val="heading 2"/>
    <w:uiPriority w:val="9"/>
    <w:semiHidden/>
    <w:unhideWhenUsed/>
    <w:qFormat/>
    <w:pPr>
      <w:outlineLvl w:val="1"/>
    </w:pPr>
    <w:rPr>
      <w:color w:val="2E74B5"/>
      <w:sz w:val="26"/>
      <w:szCs w:val="26"/>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uiPriority w:val="10"/>
    <w:qFormat/>
    <w:rPr>
      <w:sz w:val="56"/>
      <w:szCs w:val="56"/>
    </w:rPr>
  </w:style>
  <w:style w:type="paragraph" w:customStyle="1" w:styleId="Textoennegrita1">
    <w:name w:val="Texto en negrita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style>
  <w:style w:type="character" w:customStyle="1" w:styleId="TextonotapieCar">
    <w:name w:val="Texto nota pie Car"/>
    <w:link w:val="Textonotapie"/>
    <w:uiPriority w:val="99"/>
    <w:semiHidden/>
    <w:unhideWhenUsed/>
    <w:rPr>
      <w:sz w:val="20"/>
      <w:szCs w:val="20"/>
    </w:rPr>
  </w:style>
  <w:style w:type="character" w:styleId="Refdenotaalfinal">
    <w:name w:val="endnote reference"/>
    <w:uiPriority w:val="99"/>
    <w:semiHidden/>
    <w:unhideWhenUsed/>
    <w:rPr>
      <w:vertAlign w:val="superscript"/>
    </w:rPr>
  </w:style>
  <w:style w:type="paragraph" w:styleId="Textonotaalfinal">
    <w:name w:val="endnote text"/>
    <w:link w:val="TextonotaalfinalCar"/>
    <w:uiPriority w:val="99"/>
    <w:semiHidden/>
    <w:unhideWhenUsed/>
  </w:style>
  <w:style w:type="character" w:customStyle="1" w:styleId="TextonotaalfinalCar">
    <w:name w:val="Texto nota al final Car"/>
    <w:link w:val="Textonotaalfinal"/>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2513</Words>
  <Characters>13825</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JOHN ZAMBRANO</cp:lastModifiedBy>
  <cp:revision>8</cp:revision>
  <dcterms:created xsi:type="dcterms:W3CDTF">2026-05-21T15:49:00Z</dcterms:created>
  <dcterms:modified xsi:type="dcterms:W3CDTF">2026-05-21T16:26:00Z</dcterms:modified>
</cp:coreProperties>
</file>